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1" w:rsidRPr="00542DA9" w:rsidRDefault="007D0E71" w:rsidP="007D0E71">
      <w:pPr>
        <w:pStyle w:val="2"/>
        <w:rPr>
          <w:rFonts w:hint="eastAsia"/>
        </w:rPr>
      </w:pPr>
      <w:r w:rsidRPr="00542DA9">
        <w:rPr>
          <w:rFonts w:hint="eastAsia"/>
        </w:rPr>
        <w:t>附件</w:t>
      </w:r>
      <w:r w:rsidRPr="00542DA9">
        <w:rPr>
          <w:rFonts w:hint="eastAsia"/>
        </w:rPr>
        <w:t>2</w:t>
      </w:r>
    </w:p>
    <w:p w:rsidR="007D0E71" w:rsidRPr="00542DA9" w:rsidRDefault="007D0E71" w:rsidP="007D0E71">
      <w:pPr>
        <w:pStyle w:val="3"/>
        <w:rPr>
          <w:rFonts w:hint="eastAsia"/>
        </w:rPr>
      </w:pPr>
      <w:r w:rsidRPr="00542DA9">
        <w:rPr>
          <w:rFonts w:hint="eastAsia"/>
        </w:rPr>
        <w:t>教工号编码编制规则</w:t>
      </w:r>
    </w:p>
    <w:p w:rsidR="007D0E71" w:rsidRPr="00542DA9" w:rsidRDefault="007D0E71" w:rsidP="007D0E71">
      <w:pPr>
        <w:spacing w:line="360" w:lineRule="auto"/>
        <w:ind w:firstLine="420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中央财经大学教职工教工号编码所涵盖的人员包括：校本部正式教职工（含离退休）、合同职工、流动编制、借调人员、博士后、外籍教师、挂靠人员。</w:t>
      </w:r>
    </w:p>
    <w:p w:rsidR="007D0E71" w:rsidRPr="00542DA9" w:rsidRDefault="007D0E71" w:rsidP="007D0E71">
      <w:pPr>
        <w:spacing w:line="360" w:lineRule="auto"/>
        <w:ind w:firstLine="420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2008年以后全校教职工的教工</w:t>
      </w:r>
      <w:proofErr w:type="gramStart"/>
      <w:r w:rsidRPr="00542DA9">
        <w:rPr>
          <w:rFonts w:ascii="仿宋_GB2312" w:eastAsia="仿宋_GB2312" w:hint="eastAsia"/>
          <w:sz w:val="24"/>
        </w:rPr>
        <w:t>号统一</w:t>
      </w:r>
      <w:proofErr w:type="gramEnd"/>
      <w:r w:rsidRPr="00542DA9">
        <w:rPr>
          <w:rFonts w:ascii="仿宋_GB2312" w:eastAsia="仿宋_GB2312" w:hint="eastAsia"/>
          <w:sz w:val="24"/>
        </w:rPr>
        <w:t>编号规则是：总长为8位。前4位为入校年份，后4位为流水号：</w:t>
      </w:r>
    </w:p>
    <w:tbl>
      <w:tblPr>
        <w:tblW w:w="3507" w:type="pct"/>
        <w:jc w:val="center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0"/>
        <w:gridCol w:w="2837"/>
      </w:tblGrid>
      <w:tr w:rsidR="007D0E71" w:rsidRPr="00542DA9" w:rsidTr="00ED2C70">
        <w:trPr>
          <w:jc w:val="center"/>
        </w:trPr>
        <w:tc>
          <w:tcPr>
            <w:tcW w:w="2627" w:type="pct"/>
          </w:tcPr>
          <w:p w:rsidR="007D0E71" w:rsidRPr="00542DA9" w:rsidRDefault="007D0E71" w:rsidP="00ED2C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42DA9">
              <w:rPr>
                <w:rFonts w:ascii="仿宋_GB2312" w:eastAsia="仿宋_GB2312" w:hAnsi="宋体" w:hint="eastAsia"/>
                <w:sz w:val="24"/>
              </w:rPr>
              <w:t>入校年份</w:t>
            </w:r>
          </w:p>
        </w:tc>
        <w:tc>
          <w:tcPr>
            <w:tcW w:w="2373" w:type="pct"/>
          </w:tcPr>
          <w:p w:rsidR="007D0E71" w:rsidRPr="00542DA9" w:rsidRDefault="007D0E71" w:rsidP="00ED2C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42DA9">
              <w:rPr>
                <w:rFonts w:ascii="仿宋_GB2312" w:eastAsia="仿宋_GB2312" w:hAnsi="宋体" w:hint="eastAsia"/>
                <w:sz w:val="24"/>
              </w:rPr>
              <w:t>流水号</w:t>
            </w:r>
          </w:p>
        </w:tc>
      </w:tr>
      <w:tr w:rsidR="007D0E71" w:rsidRPr="00542DA9" w:rsidTr="00ED2C70">
        <w:trPr>
          <w:jc w:val="center"/>
        </w:trPr>
        <w:tc>
          <w:tcPr>
            <w:tcW w:w="2627" w:type="pct"/>
          </w:tcPr>
          <w:p w:rsidR="007D0E71" w:rsidRPr="00542DA9" w:rsidRDefault="007D0E71" w:rsidP="00ED2C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42DA9">
              <w:rPr>
                <w:rFonts w:ascii="仿宋_GB2312" w:eastAsia="仿宋_GB2312" w:hAnsi="宋体" w:hint="eastAsia"/>
                <w:sz w:val="24"/>
              </w:rPr>
              <w:t>4位</w:t>
            </w:r>
          </w:p>
        </w:tc>
        <w:tc>
          <w:tcPr>
            <w:tcW w:w="2373" w:type="pct"/>
          </w:tcPr>
          <w:p w:rsidR="007D0E71" w:rsidRPr="00542DA9" w:rsidRDefault="007D0E71" w:rsidP="00ED2C7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42DA9">
              <w:rPr>
                <w:rFonts w:ascii="仿宋_GB2312" w:eastAsia="仿宋_GB2312" w:hAnsi="宋体" w:hint="eastAsia"/>
                <w:sz w:val="24"/>
              </w:rPr>
              <w:t>4位</w:t>
            </w:r>
          </w:p>
        </w:tc>
      </w:tr>
    </w:tbl>
    <w:p w:rsidR="007D0E71" w:rsidRPr="00542DA9" w:rsidRDefault="007D0E71" w:rsidP="007D0E71">
      <w:pPr>
        <w:spacing w:line="360" w:lineRule="auto"/>
        <w:ind w:firstLine="420"/>
        <w:rPr>
          <w:rFonts w:ascii="仿宋_GB2312" w:eastAsia="仿宋_GB2312" w:hint="eastAsia"/>
          <w:sz w:val="24"/>
        </w:rPr>
      </w:pPr>
    </w:p>
    <w:p w:rsidR="007D0E71" w:rsidRPr="00542DA9" w:rsidRDefault="007D0E71" w:rsidP="007D0E71">
      <w:pPr>
        <w:spacing w:line="360" w:lineRule="auto"/>
        <w:ind w:firstLine="420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 xml:space="preserve">考虑到现有教工号的编制单位众多，并且编制规则不一。为将原先的教工号与当前编制规则相统一，特制定转换规则：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370"/>
        <w:gridCol w:w="4484"/>
      </w:tblGrid>
      <w:tr w:rsidR="007D0E71" w:rsidRPr="00542DA9" w:rsidTr="00ED2C70">
        <w:tc>
          <w:tcPr>
            <w:tcW w:w="1668" w:type="dxa"/>
            <w:shd w:val="clear" w:color="auto" w:fill="E6E6E6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部门名称</w:t>
            </w:r>
          </w:p>
        </w:tc>
        <w:tc>
          <w:tcPr>
            <w:tcW w:w="2370" w:type="dxa"/>
            <w:shd w:val="clear" w:color="auto" w:fill="E6E6E6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原编制规则</w:t>
            </w:r>
          </w:p>
        </w:tc>
        <w:tc>
          <w:tcPr>
            <w:tcW w:w="4484" w:type="dxa"/>
            <w:shd w:val="clear" w:color="auto" w:fill="E6E6E6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原编制规则修改</w:t>
            </w:r>
          </w:p>
        </w:tc>
      </w:tr>
      <w:tr w:rsidR="007D0E71" w:rsidRPr="00542DA9" w:rsidTr="00ED2C70">
        <w:tc>
          <w:tcPr>
            <w:tcW w:w="1668" w:type="dxa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人事处</w:t>
            </w:r>
          </w:p>
        </w:tc>
        <w:tc>
          <w:tcPr>
            <w:tcW w:w="2370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6位，2位单位号+4位流水号</w:t>
            </w:r>
          </w:p>
        </w:tc>
        <w:tc>
          <w:tcPr>
            <w:tcW w:w="4484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08年以前人事处编制的教工号编号规则是：前两位是“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542DA9">
                <w:rPr>
                  <w:rFonts w:ascii="仿宋_GB2312" w:eastAsia="仿宋_GB2312" w:hint="eastAsia"/>
                  <w:sz w:val="24"/>
                </w:rPr>
                <w:t>01”</w:t>
              </w:r>
            </w:smartTag>
            <w:r w:rsidRPr="00542DA9">
              <w:rPr>
                <w:rFonts w:ascii="仿宋_GB2312" w:eastAsia="仿宋_GB2312" w:hint="eastAsia"/>
                <w:sz w:val="24"/>
              </w:rPr>
              <w:t>，后六位为原职工号。</w:t>
            </w:r>
          </w:p>
        </w:tc>
      </w:tr>
      <w:tr w:rsidR="007D0E71" w:rsidRPr="00542DA9" w:rsidTr="00ED2C70">
        <w:tc>
          <w:tcPr>
            <w:tcW w:w="1668" w:type="dxa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教务处</w:t>
            </w:r>
          </w:p>
        </w:tc>
        <w:tc>
          <w:tcPr>
            <w:tcW w:w="2370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6位，2位学院代码+2位来校年份+2位顺序号</w:t>
            </w:r>
          </w:p>
        </w:tc>
        <w:tc>
          <w:tcPr>
            <w:tcW w:w="4484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08年以前教务处教工号编号规则是：前两位是：“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”"/>
              </w:smartTagPr>
              <w:r w:rsidRPr="00542DA9">
                <w:rPr>
                  <w:rFonts w:ascii="仿宋_GB2312" w:eastAsia="仿宋_GB2312" w:hint="eastAsia"/>
                  <w:sz w:val="24"/>
                </w:rPr>
                <w:t>10”</w:t>
              </w:r>
            </w:smartTag>
            <w:r w:rsidRPr="00542DA9">
              <w:rPr>
                <w:rFonts w:ascii="仿宋_GB2312" w:eastAsia="仿宋_GB2312" w:hint="eastAsia"/>
                <w:sz w:val="24"/>
              </w:rPr>
              <w:t>，后六位是原职工号。</w:t>
            </w:r>
          </w:p>
        </w:tc>
      </w:tr>
      <w:tr w:rsidR="007D0E71" w:rsidRPr="00542DA9" w:rsidTr="00ED2C70">
        <w:tc>
          <w:tcPr>
            <w:tcW w:w="1668" w:type="dxa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网络教育学院</w:t>
            </w:r>
          </w:p>
        </w:tc>
        <w:tc>
          <w:tcPr>
            <w:tcW w:w="2370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4位，1位自编学院代码+3位顺序号</w:t>
            </w:r>
          </w:p>
        </w:tc>
        <w:tc>
          <w:tcPr>
            <w:tcW w:w="4484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08年以前网络教育学院在岗的教工号编号规则是：前四位是“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0"/>
                <w:attr w:name="UnitName" w:val="”"/>
              </w:smartTagPr>
              <w:r w:rsidRPr="00542DA9">
                <w:rPr>
                  <w:rFonts w:ascii="仿宋_GB2312" w:eastAsia="仿宋_GB2312" w:hint="eastAsia"/>
                  <w:sz w:val="24"/>
                </w:rPr>
                <w:t>1100”</w:t>
              </w:r>
            </w:smartTag>
            <w:r w:rsidRPr="00542DA9">
              <w:rPr>
                <w:rFonts w:ascii="仿宋_GB2312" w:eastAsia="仿宋_GB2312" w:hint="eastAsia"/>
                <w:sz w:val="24"/>
              </w:rPr>
              <w:t>，后四位为原职工号。</w:t>
            </w:r>
          </w:p>
        </w:tc>
      </w:tr>
      <w:tr w:rsidR="007D0E71" w:rsidRPr="00542DA9" w:rsidTr="00ED2C70">
        <w:tc>
          <w:tcPr>
            <w:tcW w:w="1668" w:type="dxa"/>
          </w:tcPr>
          <w:p w:rsidR="007D0E71" w:rsidRPr="00542DA9" w:rsidRDefault="007D0E71" w:rsidP="00ED2C7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MBA教育中心</w:t>
            </w:r>
          </w:p>
        </w:tc>
        <w:tc>
          <w:tcPr>
            <w:tcW w:w="2370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3位顺序号</w:t>
            </w:r>
          </w:p>
        </w:tc>
        <w:tc>
          <w:tcPr>
            <w:tcW w:w="4484" w:type="dxa"/>
          </w:tcPr>
          <w:p w:rsidR="007D0E71" w:rsidRPr="00542DA9" w:rsidRDefault="007D0E71" w:rsidP="00ED2C7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42DA9">
              <w:rPr>
                <w:rFonts w:ascii="仿宋_GB2312" w:eastAsia="仿宋_GB2312" w:hint="eastAsia"/>
                <w:sz w:val="24"/>
              </w:rPr>
              <w:t>08年以前的教工号编号规则是：前五位是“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100"/>
                <w:attr w:name="UnitName" w:val="”"/>
              </w:smartTagPr>
              <w:r w:rsidRPr="00542DA9">
                <w:rPr>
                  <w:rFonts w:ascii="仿宋_GB2312" w:eastAsia="仿宋_GB2312" w:hint="eastAsia"/>
                  <w:sz w:val="24"/>
                </w:rPr>
                <w:t>11100”</w:t>
              </w:r>
            </w:smartTag>
            <w:r w:rsidRPr="00542DA9">
              <w:rPr>
                <w:rFonts w:ascii="仿宋_GB2312" w:eastAsia="仿宋_GB2312" w:hint="eastAsia"/>
                <w:sz w:val="24"/>
              </w:rPr>
              <w:t>，后三位是原职工号。</w:t>
            </w:r>
          </w:p>
        </w:tc>
      </w:tr>
    </w:tbl>
    <w:p w:rsidR="007D0E71" w:rsidRPr="00542DA9" w:rsidRDefault="007D0E71" w:rsidP="007D0E71">
      <w:pPr>
        <w:spacing w:line="360" w:lineRule="auto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注：</w:t>
      </w:r>
    </w:p>
    <w:p w:rsidR="007D0E71" w:rsidRPr="00542DA9" w:rsidRDefault="007D0E71" w:rsidP="007D0E71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其余未编号的教职工及以后新进教职工</w:t>
      </w:r>
      <w:proofErr w:type="gramStart"/>
      <w:r w:rsidRPr="00542DA9">
        <w:rPr>
          <w:rFonts w:ascii="仿宋_GB2312" w:eastAsia="仿宋_GB2312" w:hint="eastAsia"/>
          <w:sz w:val="24"/>
        </w:rPr>
        <w:t>教工号按新</w:t>
      </w:r>
      <w:proofErr w:type="gramEnd"/>
      <w:r w:rsidRPr="00542DA9">
        <w:rPr>
          <w:rFonts w:ascii="仿宋_GB2312" w:eastAsia="仿宋_GB2312" w:hint="eastAsia"/>
          <w:sz w:val="24"/>
        </w:rPr>
        <w:t>编号规则进行编号处理。</w:t>
      </w:r>
    </w:p>
    <w:p w:rsidR="007D0E71" w:rsidRPr="00542DA9" w:rsidRDefault="007D0E71" w:rsidP="007D0E71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08年以后（含08年）教工号由各单位提供名单，人事处统一编号。</w:t>
      </w:r>
    </w:p>
    <w:p w:rsidR="007D0E71" w:rsidRPr="00542DA9" w:rsidRDefault="007D0E71" w:rsidP="007D0E71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sz w:val="24"/>
        </w:rPr>
      </w:pPr>
      <w:r w:rsidRPr="00542DA9">
        <w:rPr>
          <w:rFonts w:ascii="仿宋_GB2312" w:eastAsia="仿宋_GB2312" w:hint="eastAsia"/>
          <w:sz w:val="24"/>
        </w:rPr>
        <w:t>如遇列表之外的情况，需由学校统一考虑编号。</w:t>
      </w:r>
    </w:p>
    <w:p w:rsidR="007D0E71" w:rsidRPr="00542DA9" w:rsidRDefault="007D0E71" w:rsidP="007D0E71">
      <w:pPr>
        <w:numPr>
          <w:ilvl w:val="0"/>
          <w:numId w:val="1"/>
        </w:numPr>
        <w:spacing w:line="360" w:lineRule="auto"/>
        <w:rPr>
          <w:rFonts w:hint="eastAsia"/>
        </w:rPr>
      </w:pPr>
      <w:r w:rsidRPr="00542DA9">
        <w:rPr>
          <w:rFonts w:ascii="仿宋_GB2312" w:eastAsia="仿宋_GB2312" w:hint="eastAsia"/>
          <w:sz w:val="24"/>
        </w:rPr>
        <w:t>如果各部门教职工教工号有重叠，则转换以列表中部门顺序为准。例如人事处、教务处均对同</w:t>
      </w:r>
      <w:proofErr w:type="gramStart"/>
      <w:r w:rsidRPr="00542DA9">
        <w:rPr>
          <w:rFonts w:ascii="仿宋_GB2312" w:eastAsia="仿宋_GB2312" w:hint="eastAsia"/>
          <w:sz w:val="24"/>
        </w:rPr>
        <w:t>一教师</w:t>
      </w:r>
      <w:proofErr w:type="gramEnd"/>
      <w:r w:rsidRPr="00542DA9">
        <w:rPr>
          <w:rFonts w:ascii="仿宋_GB2312" w:eastAsia="仿宋_GB2312" w:hint="eastAsia"/>
          <w:sz w:val="24"/>
        </w:rPr>
        <w:t>编制不同号，则以人事处对其进行的转换为准。</w:t>
      </w:r>
    </w:p>
    <w:p w:rsidR="007E0D30" w:rsidRPr="007D0E71" w:rsidRDefault="007E0D30"/>
    <w:sectPr w:rsidR="007E0D30" w:rsidRPr="007D0E71" w:rsidSect="007E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240E"/>
    <w:multiLevelType w:val="hybridMultilevel"/>
    <w:tmpl w:val="532C235E"/>
    <w:lvl w:ilvl="0" w:tplc="49D4A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E71"/>
    <w:rsid w:val="0056229F"/>
    <w:rsid w:val="007D0E71"/>
    <w:rsid w:val="007E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7D0E71"/>
    <w:pPr>
      <w:keepNext/>
      <w:keepLines/>
      <w:pageBreakBefore/>
      <w:spacing w:before="260" w:after="260" w:line="415" w:lineRule="auto"/>
      <w:outlineLvl w:val="1"/>
    </w:pPr>
    <w:rPr>
      <w:rFonts w:ascii="Arial" w:eastAsia="楷体_GB2312" w:hAnsi="Arial"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qFormat/>
    <w:rsid w:val="007D0E71"/>
    <w:pPr>
      <w:keepNext/>
      <w:keepLines/>
      <w:spacing w:before="260" w:after="260" w:line="416" w:lineRule="auto"/>
      <w:jc w:val="center"/>
      <w:outlineLvl w:val="2"/>
    </w:pPr>
    <w:rPr>
      <w:rFonts w:eastAsia="仿宋_GB2312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0E71"/>
    <w:rPr>
      <w:rFonts w:ascii="Arial" w:eastAsia="楷体_GB2312" w:hAnsi="Arial" w:cs="Times New Roman"/>
      <w:bCs/>
      <w:sz w:val="24"/>
      <w:szCs w:val="32"/>
    </w:rPr>
  </w:style>
  <w:style w:type="character" w:customStyle="1" w:styleId="3Char">
    <w:name w:val="标题 3 Char"/>
    <w:basedOn w:val="a0"/>
    <w:link w:val="3"/>
    <w:rsid w:val="007D0E71"/>
    <w:rPr>
      <w:rFonts w:ascii="Times New Roman" w:eastAsia="仿宋_GB2312" w:hAnsi="Times New Roman" w:cs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2011-11-17T02:11:00Z</dcterms:created>
  <dcterms:modified xsi:type="dcterms:W3CDTF">2011-11-17T02:11:00Z</dcterms:modified>
</cp:coreProperties>
</file>